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Select an event from Utah’s suffrage story and write about this event in a journal entry from the point of view of your historical person or another person from the cast list. Make sure to include facts and details about this person and the event.</w:t>
      </w:r>
    </w:p>
    <w:tbl>
      <w:tblPr>
        <w:tblStyle w:val="Table1"/>
        <w:tblW w:w="95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40"/>
        <w:tblGridChange w:id="0">
          <w:tblGrid>
            <w:gridCol w:w="9540"/>
          </w:tblGrid>
        </w:tblGridChange>
      </w:tblGrid>
      <w:tr>
        <w:trPr>
          <w:trHeight w:val="1002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Journal of __________________________________________Date____________________</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tc>
      </w:tr>
    </w:tbl>
    <w:p w:rsidR="00000000" w:rsidDel="00000000" w:rsidP="00000000" w:rsidRDefault="00000000" w:rsidRPr="00000000">
      <w:pPr>
        <w:contextualSpacing w:val="0"/>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